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华文行楷" w:eastAsia="华文行楷"/>
          <w:sz w:val="36"/>
          <w:szCs w:val="36"/>
        </w:rPr>
      </w:pPr>
      <w:r>
        <w:rPr>
          <w:rFonts w:hint="eastAsia" w:ascii="华文行楷" w:eastAsia="华文行楷"/>
          <w:sz w:val="36"/>
          <w:szCs w:val="36"/>
        </w:rPr>
        <w:t>天津大学</w:t>
      </w:r>
      <w:r>
        <w:rPr>
          <w:rFonts w:hint="eastAsia" w:ascii="华文行楷" w:eastAsia="华文行楷"/>
          <w:sz w:val="36"/>
          <w:szCs w:val="36"/>
          <w:lang w:val="en-US" w:eastAsia="zh-CN"/>
        </w:rPr>
        <w:t>微电子学院</w:t>
      </w:r>
      <w:r>
        <w:rPr>
          <w:rFonts w:hint="eastAsia" w:ascii="华文行楷" w:eastAsia="华文行楷"/>
          <w:sz w:val="36"/>
          <w:szCs w:val="36"/>
        </w:rPr>
        <w:t>-华晖盛世油气探测</w:t>
      </w:r>
    </w:p>
    <w:p>
      <w:pPr>
        <w:spacing w:line="360" w:lineRule="auto"/>
        <w:jc w:val="center"/>
        <w:rPr>
          <w:rFonts w:ascii="华文行楷" w:eastAsia="华文行楷"/>
          <w:sz w:val="36"/>
          <w:szCs w:val="36"/>
        </w:rPr>
      </w:pPr>
      <w:r>
        <w:rPr>
          <w:rFonts w:hint="eastAsia" w:ascii="华文行楷" w:eastAsia="华文行楷"/>
          <w:sz w:val="36"/>
          <w:szCs w:val="36"/>
        </w:rPr>
        <w:t>联合研究中心</w:t>
      </w:r>
    </w:p>
    <w:p>
      <w:pPr>
        <w:spacing w:line="360" w:lineRule="auto"/>
        <w:jc w:val="center"/>
        <w:rPr>
          <w:rFonts w:ascii="华文行楷" w:eastAsia="华文行楷"/>
          <w:sz w:val="36"/>
          <w:szCs w:val="36"/>
        </w:rPr>
      </w:pPr>
      <w:r>
        <w:rPr>
          <w:rFonts w:hint="eastAsia" w:ascii="华文行楷" w:eastAsia="华文行楷"/>
          <w:sz w:val="36"/>
          <w:szCs w:val="36"/>
        </w:rPr>
        <w:t xml:space="preserve">   介       绍</w:t>
      </w:r>
    </w:p>
    <w:p>
      <w:pPr>
        <w:spacing w:line="360" w:lineRule="auto"/>
        <w:ind w:firstLine="480" w:firstLineChars="200"/>
        <w:rPr>
          <w:sz w:val="24"/>
          <w:szCs w:val="28"/>
        </w:rPr>
      </w:pPr>
      <w:r>
        <w:rPr>
          <w:rFonts w:hint="eastAsia" w:asciiTheme="majorEastAsia" w:hAnsiTheme="majorEastAsia" w:eastAsiaTheme="majorEastAsia"/>
          <w:sz w:val="24"/>
          <w:szCs w:val="28"/>
        </w:rPr>
        <w:t>天津大学</w:t>
      </w:r>
      <w:r>
        <w:rPr>
          <w:rFonts w:hint="eastAsia" w:asciiTheme="majorEastAsia" w:hAnsiTheme="majorEastAsia" w:eastAsiaTheme="majorEastAsia"/>
          <w:sz w:val="24"/>
          <w:szCs w:val="28"/>
          <w:lang w:val="en-US" w:eastAsia="zh-CN"/>
        </w:rPr>
        <w:t>微电子学院</w:t>
      </w:r>
      <w:r>
        <w:rPr>
          <w:rFonts w:hint="eastAsia" w:asciiTheme="majorEastAsia" w:hAnsiTheme="majorEastAsia" w:eastAsiaTheme="majorEastAsia"/>
          <w:sz w:val="24"/>
          <w:szCs w:val="28"/>
        </w:rPr>
        <w:t>-</w:t>
      </w:r>
      <w:r>
        <w:rPr>
          <w:rFonts w:asciiTheme="majorEastAsia" w:hAnsiTheme="majorEastAsia" w:eastAsiaTheme="majorEastAsia"/>
          <w:sz w:val="24"/>
          <w:szCs w:val="28"/>
        </w:rPr>
        <w:t>华晖盛世油气探测</w:t>
      </w:r>
      <w:r>
        <w:rPr>
          <w:rFonts w:hint="eastAsia" w:asciiTheme="majorEastAsia" w:hAnsiTheme="majorEastAsia" w:eastAsiaTheme="majorEastAsia"/>
          <w:sz w:val="24"/>
          <w:szCs w:val="28"/>
        </w:rPr>
        <w:t>联合</w:t>
      </w:r>
      <w:r>
        <w:rPr>
          <w:rFonts w:asciiTheme="majorEastAsia" w:hAnsiTheme="majorEastAsia" w:eastAsiaTheme="majorEastAsia"/>
          <w:sz w:val="24"/>
          <w:szCs w:val="28"/>
        </w:rPr>
        <w:t>研究中心是</w:t>
      </w:r>
      <w:r>
        <w:rPr>
          <w:rFonts w:hint="eastAsia" w:asciiTheme="majorEastAsia" w:hAnsiTheme="majorEastAsia" w:eastAsiaTheme="majorEastAsia"/>
          <w:sz w:val="24"/>
          <w:szCs w:val="28"/>
        </w:rPr>
        <w:t>2019年由</w:t>
      </w:r>
      <w:r>
        <w:rPr>
          <w:rFonts w:asciiTheme="majorEastAsia" w:hAnsiTheme="majorEastAsia" w:eastAsiaTheme="majorEastAsia"/>
          <w:sz w:val="24"/>
          <w:szCs w:val="28"/>
        </w:rPr>
        <w:t>天津大学微电子学院和北京华晖盛世</w:t>
      </w:r>
      <w:r>
        <w:rPr>
          <w:rFonts w:hint="eastAsia" w:asciiTheme="majorEastAsia" w:hAnsiTheme="majorEastAsia" w:eastAsiaTheme="majorEastAsia"/>
          <w:sz w:val="24"/>
          <w:szCs w:val="28"/>
        </w:rPr>
        <w:t>能源</w:t>
      </w:r>
      <w:r>
        <w:rPr>
          <w:rFonts w:asciiTheme="majorEastAsia" w:hAnsiTheme="majorEastAsia" w:eastAsiaTheme="majorEastAsia"/>
          <w:sz w:val="24"/>
          <w:szCs w:val="28"/>
        </w:rPr>
        <w:t>技术股份有限公司共同</w:t>
      </w:r>
      <w:r>
        <w:rPr>
          <w:rFonts w:hint="eastAsia" w:asciiTheme="majorEastAsia" w:hAnsiTheme="majorEastAsia" w:eastAsiaTheme="majorEastAsia"/>
          <w:sz w:val="24"/>
          <w:szCs w:val="28"/>
        </w:rPr>
        <w:t>组建。</w:t>
      </w:r>
      <w:r>
        <w:rPr>
          <w:rFonts w:asciiTheme="majorEastAsia" w:hAnsiTheme="majorEastAsia" w:eastAsiaTheme="majorEastAsia"/>
          <w:sz w:val="24"/>
          <w:szCs w:val="28"/>
        </w:rPr>
        <w:t>其中</w:t>
      </w:r>
      <w:r>
        <w:rPr>
          <w:rFonts w:hint="eastAsia" w:asciiTheme="majorEastAsia" w:hAnsiTheme="majorEastAsia" w:eastAsiaTheme="majorEastAsia"/>
          <w:sz w:val="24"/>
          <w:szCs w:val="28"/>
        </w:rPr>
        <w:t>天津大学</w:t>
      </w:r>
      <w:r>
        <w:rPr>
          <w:rFonts w:asciiTheme="majorEastAsia" w:hAnsiTheme="majorEastAsia" w:eastAsiaTheme="majorEastAsia"/>
          <w:sz w:val="24"/>
          <w:szCs w:val="28"/>
        </w:rPr>
        <w:t>微电子学院</w:t>
      </w:r>
      <w:r>
        <w:rPr>
          <w:rFonts w:hint="eastAsia" w:asciiTheme="majorEastAsia" w:hAnsiTheme="majorEastAsia" w:eastAsiaTheme="majorEastAsia"/>
          <w:sz w:val="24"/>
          <w:szCs w:val="28"/>
        </w:rPr>
        <w:t>是26所建设与筹备建设国家示范性微电子学院之一，</w:t>
      </w:r>
      <w:r>
        <w:rPr>
          <w:rFonts w:asciiTheme="majorEastAsia" w:hAnsiTheme="majorEastAsia" w:eastAsiaTheme="majorEastAsia"/>
          <w:sz w:val="24"/>
          <w:szCs w:val="28"/>
        </w:rPr>
        <w:t>拥有</w:t>
      </w:r>
      <w:r>
        <w:rPr>
          <w:rFonts w:hint="eastAsia" w:asciiTheme="majorEastAsia" w:hAnsiTheme="majorEastAsia" w:eastAsiaTheme="majorEastAsia"/>
          <w:sz w:val="24"/>
          <w:szCs w:val="28"/>
        </w:rPr>
        <w:t>雄厚</w:t>
      </w:r>
      <w:r>
        <w:rPr>
          <w:rFonts w:asciiTheme="majorEastAsia" w:hAnsiTheme="majorEastAsia" w:eastAsiaTheme="majorEastAsia"/>
          <w:sz w:val="24"/>
          <w:szCs w:val="28"/>
        </w:rPr>
        <w:t>的科学研究实力</w:t>
      </w:r>
      <w:r>
        <w:rPr>
          <w:rFonts w:hint="eastAsia" w:asciiTheme="majorEastAsia" w:hAnsiTheme="majorEastAsia" w:eastAsiaTheme="majorEastAsia"/>
          <w:sz w:val="24"/>
          <w:szCs w:val="28"/>
        </w:rPr>
        <w:t>和强大</w:t>
      </w:r>
      <w:r>
        <w:rPr>
          <w:rFonts w:asciiTheme="majorEastAsia" w:hAnsiTheme="majorEastAsia" w:eastAsiaTheme="majorEastAsia"/>
          <w:sz w:val="24"/>
          <w:szCs w:val="28"/>
        </w:rPr>
        <w:t>的师资力量</w:t>
      </w:r>
      <w:r>
        <w:rPr>
          <w:rFonts w:hint="eastAsia" w:asciiTheme="majorEastAsia" w:hAnsiTheme="majorEastAsia" w:eastAsiaTheme="majorEastAsia"/>
          <w:sz w:val="24"/>
          <w:szCs w:val="28"/>
        </w:rPr>
        <w:t>，依托电子科学与技术国家一级学科，建设有电子科学与技术博士点和博士后流动站、微电子学与固体电子学国家二级重点学科等；</w:t>
      </w:r>
      <w:r>
        <w:rPr>
          <w:rFonts w:hint="eastAsia"/>
          <w:sz w:val="24"/>
          <w:szCs w:val="28"/>
        </w:rPr>
        <w:t>北京华晖盛世能源技术股份有限公司是一家致力从事油田钻采技术开发与服务，石油自动化设备及软硬件研发、销售的高科技公司，于</w:t>
      </w:r>
      <w:r>
        <w:rPr>
          <w:sz w:val="24"/>
          <w:szCs w:val="28"/>
        </w:rPr>
        <w:t>2000</w:t>
      </w:r>
      <w:r>
        <w:rPr>
          <w:rFonts w:hint="eastAsia"/>
          <w:sz w:val="24"/>
          <w:szCs w:val="28"/>
        </w:rPr>
        <w:t>年在北京正式注册成立，公司与国内外众多知名品牌企业建立了良好、稳固的合作伙伴关系，逐渐形成强大的人才、技术和品牌优势，自创立以来一直专业为油田提供钻井、测井、微地震监测、压裂等多项工程技术服务，自主研</w:t>
      </w:r>
      <w:bookmarkStart w:id="0" w:name="_GoBack"/>
      <w:bookmarkEnd w:id="0"/>
      <w:r>
        <w:rPr>
          <w:rFonts w:hint="eastAsia"/>
          <w:sz w:val="24"/>
          <w:szCs w:val="28"/>
        </w:rPr>
        <w:t>发形成了特殊测井数据解释应用等多项核心技术，部分技术填补国内空白。</w:t>
      </w:r>
    </w:p>
    <w:p>
      <w:pPr>
        <w:spacing w:line="360" w:lineRule="auto"/>
        <w:ind w:firstLine="480" w:firstLineChars="200"/>
        <w:rPr>
          <w:sz w:val="24"/>
          <w:szCs w:val="28"/>
        </w:rPr>
      </w:pPr>
      <w:r>
        <w:rPr>
          <w:rFonts w:hint="eastAsia"/>
          <w:sz w:val="24"/>
          <w:szCs w:val="28"/>
        </w:rPr>
        <w:t>该研究中心是一个产学研联合体。既进行油气探测新方法的理论研究，又实施研究成果的工业化开发与应用。办公地点分别设在天津大学微电子学院和北京华晖盛世总部。天津大学负责基础理论和核心技术研究，华晖盛世负责工业化开发和装备制造与应用。现阶段</w:t>
      </w:r>
      <w:r>
        <w:rPr>
          <w:sz w:val="24"/>
          <w:szCs w:val="28"/>
        </w:rPr>
        <w:t>，</w:t>
      </w:r>
      <w:r>
        <w:rPr>
          <w:rFonts w:hint="eastAsia"/>
          <w:sz w:val="24"/>
          <w:szCs w:val="28"/>
        </w:rPr>
        <w:t>本研究中心主要研究瞬变电磁理论及其在油气探测和开发方面的原创技术和应用。</w:t>
      </w:r>
    </w:p>
    <w:p>
      <w:pPr>
        <w:spacing w:line="360" w:lineRule="auto"/>
        <w:ind w:firstLine="482" w:firstLineChars="200"/>
        <w:jc w:val="left"/>
        <w:rPr>
          <w:rFonts w:asciiTheme="majorEastAsia" w:hAnsiTheme="majorEastAsia" w:eastAsiaTheme="majorEastAsia"/>
          <w:b/>
          <w:sz w:val="24"/>
          <w:szCs w:val="28"/>
        </w:rPr>
      </w:pPr>
      <w:r>
        <w:rPr>
          <w:rFonts w:hint="eastAsia" w:asciiTheme="majorEastAsia" w:hAnsiTheme="majorEastAsia" w:eastAsiaTheme="majorEastAsia"/>
          <w:b/>
          <w:sz w:val="24"/>
          <w:szCs w:val="28"/>
        </w:rPr>
        <w:t>一</w:t>
      </w:r>
      <w:r>
        <w:rPr>
          <w:rFonts w:asciiTheme="majorEastAsia" w:hAnsiTheme="majorEastAsia" w:eastAsiaTheme="majorEastAsia"/>
          <w:b/>
          <w:sz w:val="24"/>
          <w:szCs w:val="28"/>
        </w:rPr>
        <w:t>、</w:t>
      </w:r>
      <w:r>
        <w:rPr>
          <w:rFonts w:hint="eastAsia" w:asciiTheme="majorEastAsia" w:hAnsiTheme="majorEastAsia" w:eastAsiaTheme="majorEastAsia"/>
          <w:b/>
          <w:sz w:val="24"/>
          <w:szCs w:val="28"/>
        </w:rPr>
        <w:t>基础理论研究</w:t>
      </w:r>
      <w:r>
        <w:rPr>
          <w:rFonts w:asciiTheme="majorEastAsia" w:hAnsiTheme="majorEastAsia" w:eastAsiaTheme="majorEastAsia"/>
          <w:b/>
          <w:sz w:val="24"/>
          <w:szCs w:val="28"/>
        </w:rPr>
        <w:t>——</w:t>
      </w:r>
      <w:r>
        <w:rPr>
          <w:rFonts w:hint="eastAsia" w:asciiTheme="majorEastAsia" w:hAnsiTheme="majorEastAsia" w:eastAsiaTheme="majorEastAsia"/>
          <w:b/>
          <w:sz w:val="24"/>
          <w:szCs w:val="28"/>
        </w:rPr>
        <w:t>瞬变</w:t>
      </w:r>
      <w:r>
        <w:rPr>
          <w:rFonts w:asciiTheme="majorEastAsia" w:hAnsiTheme="majorEastAsia" w:eastAsiaTheme="majorEastAsia"/>
          <w:b/>
          <w:sz w:val="24"/>
          <w:szCs w:val="28"/>
        </w:rPr>
        <w:t>电磁在裸眼井、套管井</w:t>
      </w:r>
      <w:r>
        <w:rPr>
          <w:rFonts w:hint="eastAsia" w:asciiTheme="majorEastAsia" w:hAnsiTheme="majorEastAsia" w:eastAsiaTheme="majorEastAsia"/>
          <w:b/>
          <w:sz w:val="24"/>
          <w:szCs w:val="28"/>
        </w:rPr>
        <w:t>传播</w:t>
      </w:r>
      <w:r>
        <w:rPr>
          <w:rFonts w:asciiTheme="majorEastAsia" w:hAnsiTheme="majorEastAsia" w:eastAsiaTheme="majorEastAsia"/>
          <w:b/>
          <w:sz w:val="24"/>
          <w:szCs w:val="28"/>
        </w:rPr>
        <w:t>理论</w:t>
      </w:r>
    </w:p>
    <w:p>
      <w:pPr>
        <w:spacing w:line="360" w:lineRule="auto"/>
        <w:ind w:firstLine="360" w:firstLineChars="200"/>
        <w:jc w:val="left"/>
        <w:rPr>
          <w:rFonts w:asciiTheme="majorEastAsia" w:hAnsiTheme="majorEastAsia" w:eastAsiaTheme="majorEastAsia"/>
          <w:sz w:val="24"/>
          <w:szCs w:val="28"/>
        </w:rPr>
      </w:pPr>
      <w:r>
        <w:rPr>
          <w:rFonts w:ascii="Times New Roman" w:hAnsi="Times New Roman" w:eastAsia="黑体" w:cs="Times New Roman"/>
          <w:sz w:val="18"/>
          <w:szCs w:val="18"/>
        </w:rPr>
        <w:drawing>
          <wp:anchor distT="0" distB="0" distL="114300" distR="114300" simplePos="0" relativeHeight="251658240" behindDoc="1" locked="0" layoutInCell="1" allowOverlap="1">
            <wp:simplePos x="0" y="0"/>
            <wp:positionH relativeFrom="column">
              <wp:posOffset>3051810</wp:posOffset>
            </wp:positionH>
            <wp:positionV relativeFrom="paragraph">
              <wp:posOffset>1015365</wp:posOffset>
            </wp:positionV>
            <wp:extent cx="2219325" cy="1664335"/>
            <wp:effectExtent l="0" t="0" r="0" b="0"/>
            <wp:wrapTight wrapText="bothSides">
              <wp:wrapPolygon>
                <wp:start x="0" y="0"/>
                <wp:lineTo x="0" y="21262"/>
                <wp:lineTo x="21328" y="21262"/>
                <wp:lineTo x="21328" y="0"/>
                <wp:lineTo x="0" y="0"/>
              </wp:wrapPolygon>
            </wp:wrapTight>
            <wp:docPr id="26" name="图片 26" descr="gg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gggg"/>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19309" cy="1664414"/>
                    </a:xfrm>
                    <a:prstGeom prst="rect">
                      <a:avLst/>
                    </a:prstGeom>
                  </pic:spPr>
                </pic:pic>
              </a:graphicData>
            </a:graphic>
          </wp:anchor>
        </w:drawing>
      </w:r>
      <w:r>
        <w:rPr>
          <w:rFonts w:hint="eastAsia" w:asciiTheme="majorEastAsia" w:hAnsiTheme="majorEastAsia" w:eastAsiaTheme="majorEastAsia"/>
          <w:sz w:val="24"/>
          <w:szCs w:val="28"/>
        </w:rPr>
        <w:t>以线圈、压电管和电极等多种方式激发的瞬变电磁场在裸眼井、套管井以及井间的传播特征为研究对象，获得其在地层中的传播规律和界面（反射、透射）响应特征，结合地球物理勘探的思想（时深转换、剖面）和瞬变电磁场以及涡流场的传播规律对井内激发的瞬变电磁响应波形进行处理，获得井间地层电导率的空间分布和井底深处地层的电导率分布。</w:t>
      </w:r>
    </w:p>
    <w:p>
      <w:pPr>
        <w:spacing w:line="360" w:lineRule="auto"/>
        <w:ind w:firstLine="480" w:firstLineChars="200"/>
        <w:jc w:val="left"/>
        <w:rPr>
          <w:rFonts w:asciiTheme="majorEastAsia" w:hAnsiTheme="majorEastAsia" w:eastAsiaTheme="majorEastAsia"/>
          <w:sz w:val="24"/>
          <w:szCs w:val="24"/>
        </w:rPr>
      </w:pPr>
      <w:r>
        <w:rPr>
          <w:rFonts w:hint="eastAsia" w:asciiTheme="majorEastAsia" w:hAnsiTheme="majorEastAsia" w:eastAsiaTheme="majorEastAsia"/>
          <w:sz w:val="24"/>
          <w:szCs w:val="24"/>
        </w:rPr>
        <w:t>（1）以线圈激发的涡流再次激发的响应为有用信号，将Doll的电流环模型推广到全空间（发射和接收线圈非同轴），建立全空间的几何因子，用全空间的几何因子对井间接收     图1 全空间几何因子</w:t>
      </w:r>
    </w:p>
    <w:p>
      <w:pPr>
        <w:spacing w:line="360" w:lineRule="auto"/>
        <w:jc w:val="left"/>
        <w:rPr>
          <w:rFonts w:asciiTheme="majorEastAsia" w:hAnsiTheme="majorEastAsia" w:eastAsiaTheme="majorEastAsia"/>
          <w:sz w:val="24"/>
          <w:szCs w:val="28"/>
        </w:rPr>
      </w:pPr>
      <w:r>
        <w:rPr>
          <w:rFonts w:hint="eastAsia" w:asciiTheme="majorEastAsia" w:hAnsiTheme="majorEastAsia" w:eastAsiaTheme="majorEastAsia"/>
          <w:sz w:val="24"/>
          <w:szCs w:val="28"/>
        </w:rPr>
        <w:t>的瞬变电磁响应信号进行反褶积处理，获得地层电导率的空间分布。</w:t>
      </w:r>
    </w:p>
    <w:p>
      <w:pPr>
        <w:spacing w:line="360" w:lineRule="auto"/>
        <w:ind w:firstLine="480" w:firstLineChars="200"/>
        <w:jc w:val="left"/>
        <w:rPr>
          <w:rFonts w:asciiTheme="majorEastAsia" w:hAnsiTheme="majorEastAsia" w:eastAsiaTheme="majorEastAsia"/>
          <w:sz w:val="24"/>
          <w:szCs w:val="28"/>
        </w:rPr>
      </w:pPr>
      <w:r>
        <w:rPr>
          <w:rFonts w:hint="eastAsia" w:asciiTheme="majorEastAsia" w:hAnsiTheme="majorEastAsia" w:eastAsiaTheme="majorEastAsia"/>
          <w:sz w:val="24"/>
          <w:szCs w:val="28"/>
        </w:rPr>
        <w:t>（2）以电极和压电管激发的瞬变电磁信号在无限大均匀介质、裸眼井和套管井内、外的传播规律为基础，建立电磁场空间分布与响应时间的对应关系，依据其传播规律构建时域波形信号的处理方法，形成时空分布探测技术。</w:t>
      </w:r>
    </w:p>
    <w:p>
      <w:pPr>
        <w:spacing w:line="360" w:lineRule="auto"/>
        <w:ind w:left="-4" w:leftChars="-2" w:right="-1050" w:rightChars="-500" w:firstLine="2" w:firstLineChars="1"/>
        <w:jc w:val="left"/>
        <w:rPr>
          <w:szCs w:val="21"/>
        </w:rPr>
      </w:pPr>
      <w:r>
        <w:rPr>
          <w:szCs w:val="21"/>
        </w:rPr>
        <w:drawing>
          <wp:inline distT="0" distB="0" distL="0" distR="0">
            <wp:extent cx="5039995" cy="2030730"/>
            <wp:effectExtent l="0" t="0" r="0" b="762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5040000" cy="2030973"/>
                    </a:xfrm>
                    <a:prstGeom prst="rect">
                      <a:avLst/>
                    </a:prstGeom>
                    <a:noFill/>
                  </pic:spPr>
                </pic:pic>
              </a:graphicData>
            </a:graphic>
          </wp:inline>
        </w:drawing>
      </w:r>
    </w:p>
    <w:p>
      <w:pPr>
        <w:spacing w:line="360" w:lineRule="auto"/>
        <w:ind w:leftChars="-270" w:right="-1050" w:rightChars="-500" w:hanging="567" w:hangingChars="270"/>
        <w:jc w:val="center"/>
        <w:rPr>
          <w:rFonts w:ascii="宋体" w:hAnsi="宋体" w:eastAsia="宋体"/>
          <w:szCs w:val="21"/>
        </w:rPr>
      </w:pPr>
      <w:r>
        <w:rPr>
          <w:rFonts w:hint="eastAsia" w:ascii="宋体" w:hAnsi="宋体" w:eastAsia="宋体"/>
          <w:szCs w:val="21"/>
        </w:rPr>
        <w:t>图2   Doll几何因子的空间分布，描述涡流传播的路径</w:t>
      </w:r>
    </w:p>
    <w:p>
      <w:pPr>
        <w:spacing w:line="360" w:lineRule="auto"/>
        <w:jc w:val="center"/>
        <w:rPr>
          <w:b/>
          <w:bCs/>
          <w:sz w:val="18"/>
          <w:szCs w:val="18"/>
        </w:rPr>
      </w:pPr>
      <w:r>
        <w:drawing>
          <wp:inline distT="0" distB="0" distL="0" distR="0">
            <wp:extent cx="1688465" cy="1268095"/>
            <wp:effectExtent l="0" t="0" r="6985" b="8255"/>
            <wp:docPr id="8" name="图片 8" descr="C:\Users\lenovo\AppData\Local\Temp\ksohtml8036\w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C:\Users\lenovo\AppData\Local\Temp\ksohtml8036\wps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688465" cy="1268095"/>
                    </a:xfrm>
                    <a:prstGeom prst="rect">
                      <a:avLst/>
                    </a:prstGeom>
                    <a:noFill/>
                    <a:ln>
                      <a:noFill/>
                    </a:ln>
                  </pic:spPr>
                </pic:pic>
              </a:graphicData>
            </a:graphic>
          </wp:inline>
        </w:drawing>
      </w:r>
      <w:r>
        <w:drawing>
          <wp:inline distT="0" distB="0" distL="0" distR="0">
            <wp:extent cx="1688465" cy="1268095"/>
            <wp:effectExtent l="0" t="0" r="6985" b="8255"/>
            <wp:docPr id="7" name="图片 7" descr="C:\Users\lenovo\AppData\Local\Temp\ksohtml8036\wp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lenovo\AppData\Local\Temp\ksohtml8036\wps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688465" cy="1268095"/>
                    </a:xfrm>
                    <a:prstGeom prst="rect">
                      <a:avLst/>
                    </a:prstGeom>
                    <a:noFill/>
                    <a:ln>
                      <a:noFill/>
                    </a:ln>
                  </pic:spPr>
                </pic:pic>
              </a:graphicData>
            </a:graphic>
          </wp:inline>
        </w:drawing>
      </w:r>
      <w:r>
        <w:drawing>
          <wp:inline distT="0" distB="0" distL="0" distR="0">
            <wp:extent cx="1688465" cy="1268095"/>
            <wp:effectExtent l="0" t="0" r="6985" b="8255"/>
            <wp:docPr id="6" name="图片 6" descr="C:\Users\lenovo\AppData\Local\Temp\ksohtml8036\wp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lenovo\AppData\Local\Temp\ksohtml8036\wps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688465" cy="1268095"/>
                    </a:xfrm>
                    <a:prstGeom prst="rect">
                      <a:avLst/>
                    </a:prstGeom>
                    <a:noFill/>
                    <a:ln>
                      <a:noFill/>
                    </a:ln>
                  </pic:spPr>
                </pic:pic>
              </a:graphicData>
            </a:graphic>
          </wp:inline>
        </w:drawing>
      </w:r>
      <w:r>
        <w:drawing>
          <wp:inline distT="0" distB="0" distL="0" distR="0">
            <wp:extent cx="1688465" cy="1268095"/>
            <wp:effectExtent l="0" t="0" r="6985" b="8255"/>
            <wp:docPr id="5" name="图片 5" descr="C:\Users\lenovo\AppData\Local\Temp\ksohtml8036\wp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lenovo\AppData\Local\Temp\ksohtml8036\wps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688465" cy="1268095"/>
                    </a:xfrm>
                    <a:prstGeom prst="rect">
                      <a:avLst/>
                    </a:prstGeom>
                    <a:noFill/>
                    <a:ln>
                      <a:noFill/>
                    </a:ln>
                  </pic:spPr>
                </pic:pic>
              </a:graphicData>
            </a:graphic>
          </wp:inline>
        </w:drawing>
      </w:r>
      <w:r>
        <w:drawing>
          <wp:inline distT="0" distB="0" distL="0" distR="0">
            <wp:extent cx="1688465" cy="1268095"/>
            <wp:effectExtent l="0" t="0" r="6985" b="8255"/>
            <wp:docPr id="3" name="图片 3" descr="C:\Users\lenovo\AppData\Local\Temp\ksohtml8036\wp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lenovo\AppData\Local\Temp\ksohtml8036\wps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688465" cy="1268095"/>
                    </a:xfrm>
                    <a:prstGeom prst="rect">
                      <a:avLst/>
                    </a:prstGeom>
                    <a:noFill/>
                    <a:ln>
                      <a:noFill/>
                    </a:ln>
                  </pic:spPr>
                </pic:pic>
              </a:graphicData>
            </a:graphic>
          </wp:inline>
        </w:drawing>
      </w:r>
      <w:r>
        <w:drawing>
          <wp:inline distT="0" distB="0" distL="0" distR="0">
            <wp:extent cx="1688465" cy="1268095"/>
            <wp:effectExtent l="0" t="0" r="6985" b="8255"/>
            <wp:docPr id="2" name="图片 2" descr="C:\Users\lenovo\AppData\Local\Temp\ksohtml8036\wp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lenovo\AppData\Local\Temp\ksohtml8036\wps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688465" cy="1268095"/>
                    </a:xfrm>
                    <a:prstGeom prst="rect">
                      <a:avLst/>
                    </a:prstGeom>
                    <a:noFill/>
                    <a:ln>
                      <a:noFill/>
                    </a:ln>
                  </pic:spPr>
                </pic:pic>
              </a:graphicData>
            </a:graphic>
          </wp:inline>
        </w:drawing>
      </w:r>
    </w:p>
    <w:p>
      <w:pPr>
        <w:spacing w:line="360" w:lineRule="auto"/>
        <w:jc w:val="center"/>
        <w:rPr>
          <w:bCs/>
          <w:szCs w:val="18"/>
        </w:rPr>
      </w:pPr>
      <w:r>
        <w:rPr>
          <w:rFonts w:hint="eastAsia" w:ascii="宋体" w:hAnsi="宋体"/>
          <w:bCs/>
          <w:szCs w:val="18"/>
        </w:rPr>
        <w:t>图</w:t>
      </w:r>
      <w:r>
        <w:rPr>
          <w:rFonts w:hint="eastAsia" w:ascii="Times New Roman" w:hAnsi="Times New Roman"/>
          <w:bCs/>
          <w:szCs w:val="18"/>
        </w:rPr>
        <w:t>3</w:t>
      </w:r>
      <w:r>
        <w:rPr>
          <w:rFonts w:hint="eastAsia"/>
          <w:bCs/>
          <w:szCs w:val="18"/>
        </w:rPr>
        <w:t xml:space="preserve"> </w:t>
      </w:r>
      <w:r>
        <w:rPr>
          <w:rFonts w:hint="eastAsia" w:ascii="宋体" w:hAnsi="宋体"/>
          <w:bCs/>
          <w:szCs w:val="18"/>
        </w:rPr>
        <w:t>单位脉冲激励下</w:t>
      </w:r>
      <w:r>
        <w:rPr>
          <w:rFonts w:ascii="Times New Roman" w:hAnsi="Times New Roman"/>
          <w:bCs/>
          <w:szCs w:val="18"/>
        </w:rPr>
        <w:t>0-</w:t>
      </w:r>
      <w:r>
        <w:rPr>
          <w:rFonts w:hint="eastAsia" w:ascii="Times New Roman" w:hAnsi="Times New Roman"/>
          <w:bCs/>
          <w:szCs w:val="18"/>
        </w:rPr>
        <w:t>1</w:t>
      </w:r>
      <w:r>
        <w:rPr>
          <w:rFonts w:ascii="Times New Roman" w:hAnsi="Times New Roman"/>
          <w:bCs/>
          <w:szCs w:val="18"/>
        </w:rPr>
        <w:t>ms</w:t>
      </w:r>
      <w:r>
        <w:rPr>
          <w:rFonts w:hint="eastAsia" w:ascii="宋体" w:hAnsi="宋体"/>
          <w:bCs/>
          <w:szCs w:val="18"/>
        </w:rPr>
        <w:t>内远源区空间电场响应分布</w:t>
      </w:r>
    </w:p>
    <w:p>
      <w:pPr>
        <w:spacing w:line="360" w:lineRule="auto"/>
        <w:ind w:firstLine="482" w:firstLineChars="200"/>
        <w:jc w:val="left"/>
        <w:rPr>
          <w:rFonts w:asciiTheme="majorEastAsia" w:hAnsiTheme="majorEastAsia" w:eastAsiaTheme="majorEastAsia"/>
          <w:b/>
          <w:sz w:val="24"/>
          <w:szCs w:val="28"/>
        </w:rPr>
      </w:pPr>
      <w:r>
        <w:rPr>
          <w:rFonts w:hint="eastAsia" w:asciiTheme="majorEastAsia" w:hAnsiTheme="majorEastAsia" w:eastAsiaTheme="majorEastAsia"/>
          <w:b/>
          <w:sz w:val="24"/>
          <w:szCs w:val="28"/>
        </w:rPr>
        <w:t>二、特色技术研发</w:t>
      </w:r>
    </w:p>
    <w:p>
      <w:pPr>
        <w:spacing w:line="360" w:lineRule="auto"/>
        <w:ind w:firstLine="480" w:firstLineChars="200"/>
        <w:jc w:val="left"/>
        <w:rPr>
          <w:rFonts w:asciiTheme="majorEastAsia" w:hAnsiTheme="majorEastAsia" w:eastAsiaTheme="majorEastAsia"/>
          <w:sz w:val="24"/>
          <w:szCs w:val="24"/>
        </w:rPr>
      </w:pPr>
      <w:r>
        <w:rPr>
          <w:rFonts w:hint="eastAsia" w:asciiTheme="majorEastAsia" w:hAnsiTheme="majorEastAsia" w:eastAsiaTheme="majorEastAsia"/>
          <w:sz w:val="24"/>
          <w:szCs w:val="24"/>
        </w:rPr>
        <w:t>（1）以瞬变激发的连续频谱时域波形信号为核心，研发以低频信号为主的综合勘探技术，解决套管井电阻率探测和井间地层电阻率检测问题。</w:t>
      </w:r>
    </w:p>
    <w:p>
      <w:pPr>
        <w:spacing w:line="360" w:lineRule="auto"/>
        <w:ind w:firstLine="480" w:firstLineChars="200"/>
        <w:jc w:val="left"/>
        <w:rPr>
          <w:rFonts w:asciiTheme="majorEastAsia" w:hAnsiTheme="majorEastAsia" w:eastAsiaTheme="majorEastAsia"/>
          <w:sz w:val="24"/>
          <w:szCs w:val="24"/>
        </w:rPr>
      </w:pPr>
      <w:r>
        <w:rPr>
          <w:rFonts w:hint="eastAsia" w:asciiTheme="majorEastAsia" w:hAnsiTheme="majorEastAsia" w:eastAsiaTheme="majorEastAsia"/>
          <w:sz w:val="24"/>
          <w:szCs w:val="24"/>
        </w:rPr>
        <w:t>（2）以瞬变电磁激发涡流场为核心，形成基于全空间几何因子的电导率分布勘探技术。</w:t>
      </w:r>
    </w:p>
    <w:p>
      <w:pPr>
        <w:spacing w:line="360" w:lineRule="auto"/>
        <w:ind w:firstLine="480" w:firstLineChars="200"/>
        <w:jc w:val="left"/>
        <w:rPr>
          <w:rFonts w:asciiTheme="majorEastAsia" w:hAnsiTheme="majorEastAsia" w:eastAsiaTheme="majorEastAsia"/>
          <w:sz w:val="24"/>
          <w:szCs w:val="24"/>
        </w:rPr>
      </w:pPr>
      <w:r>
        <w:rPr>
          <w:rFonts w:hint="eastAsia" w:asciiTheme="majorEastAsia" w:hAnsiTheme="majorEastAsia" w:eastAsiaTheme="majorEastAsia"/>
          <w:sz w:val="24"/>
          <w:szCs w:val="24"/>
        </w:rPr>
        <w:t>（3）以瞬变电磁时间域的响应特征为基础，构建裸眼井的时深关系，将瞬变电磁测井波形转换为深度方向的电导率分布。</w:t>
      </w:r>
    </w:p>
    <w:p>
      <w:pPr>
        <w:spacing w:line="360" w:lineRule="auto"/>
        <w:ind w:firstLine="480" w:firstLineChars="200"/>
        <w:jc w:val="left"/>
        <w:rPr>
          <w:rFonts w:asciiTheme="majorEastAsia" w:hAnsiTheme="majorEastAsia" w:eastAsiaTheme="majorEastAsia"/>
          <w:sz w:val="24"/>
          <w:szCs w:val="24"/>
        </w:rPr>
      </w:pPr>
      <w:r>
        <w:rPr>
          <w:rFonts w:hint="eastAsia" w:asciiTheme="majorEastAsia" w:hAnsiTheme="majorEastAsia" w:eastAsiaTheme="majorEastAsia"/>
          <w:sz w:val="24"/>
          <w:szCs w:val="24"/>
        </w:rPr>
        <w:t>（4）以连续频率响应信号为研究对象，形成不同频率所对应的不同探测深度的处理方法，获得不同径向深度地层电导率分布的探测方法。</w:t>
      </w:r>
    </w:p>
    <w:p>
      <w:pPr>
        <w:spacing w:line="360" w:lineRule="auto"/>
        <w:ind w:firstLine="480" w:firstLineChars="200"/>
        <w:jc w:val="left"/>
        <w:rPr>
          <w:rFonts w:asciiTheme="majorEastAsia" w:hAnsiTheme="majorEastAsia" w:eastAsiaTheme="majorEastAsia"/>
          <w:sz w:val="24"/>
          <w:szCs w:val="24"/>
        </w:rPr>
      </w:pPr>
      <w:r>
        <w:rPr>
          <w:rFonts w:hint="eastAsia" w:asciiTheme="majorEastAsia" w:hAnsiTheme="majorEastAsia" w:eastAsiaTheme="majorEastAsia"/>
          <w:sz w:val="24"/>
          <w:szCs w:val="24"/>
        </w:rPr>
        <w:t xml:space="preserve">（5）以声波探头激发的各类瞬变电磁场为研究对象，研究半径方向和深度z方向的电磁场分布，获得多个方向的地层电阻率，探索z方向电导率的测量方法和电学各向异性测量和信号处理方法，研究地层的电学各向异性。 </w:t>
      </w:r>
    </w:p>
    <w:p>
      <w:pPr>
        <w:spacing w:line="360" w:lineRule="auto"/>
        <w:ind w:firstLine="480" w:firstLineChars="200"/>
        <w:jc w:val="left"/>
        <w:rPr>
          <w:rFonts w:asciiTheme="majorEastAsia" w:hAnsiTheme="majorEastAsia" w:eastAsiaTheme="majorEastAsia"/>
          <w:sz w:val="24"/>
          <w:szCs w:val="24"/>
        </w:rPr>
      </w:pPr>
      <w:r>
        <w:rPr>
          <w:rFonts w:hint="eastAsia" w:asciiTheme="majorEastAsia" w:hAnsiTheme="majorEastAsia" w:eastAsiaTheme="majorEastAsia"/>
          <w:sz w:val="24"/>
          <w:szCs w:val="24"/>
        </w:rPr>
        <w:t>（6）以探测各个方向地层的电阻率以及电阻率界面、各个频率地层电阻率分布为目的，开展原创技术研究，为寻找油气田提供地层的三个垂直方向（圆周、z和r）的电阻率随频率的变化关系，增加评价地层的剩余油分布新手段。</w:t>
      </w:r>
    </w:p>
    <w:p>
      <w:pPr>
        <w:spacing w:line="360" w:lineRule="auto"/>
        <w:ind w:firstLine="480" w:firstLineChars="200"/>
        <w:jc w:val="left"/>
        <w:rPr>
          <w:rFonts w:asciiTheme="majorEastAsia" w:hAnsiTheme="majorEastAsia" w:eastAsiaTheme="majorEastAsia"/>
          <w:sz w:val="24"/>
          <w:szCs w:val="24"/>
        </w:rPr>
      </w:pPr>
      <w:r>
        <w:rPr>
          <w:rFonts w:hint="eastAsia" w:asciiTheme="majorEastAsia" w:hAnsiTheme="majorEastAsia" w:eastAsiaTheme="majorEastAsia"/>
          <w:sz w:val="24"/>
          <w:szCs w:val="24"/>
        </w:rPr>
        <w:t>（7）以瞬变电磁场在地层中的传播规律和反射透射特征为基础，以涡流场的响应为核心开展井间瞬变电磁勘探方法研究，预测剩余油分布。</w:t>
      </w:r>
    </w:p>
    <w:p>
      <w:pPr>
        <w:spacing w:line="360" w:lineRule="auto"/>
        <w:ind w:firstLine="480" w:firstLineChars="200"/>
        <w:jc w:val="left"/>
        <w:rPr>
          <w:rFonts w:asciiTheme="majorEastAsia" w:hAnsiTheme="majorEastAsia" w:eastAsiaTheme="majorEastAsia"/>
          <w:sz w:val="24"/>
          <w:szCs w:val="24"/>
        </w:rPr>
      </w:pPr>
      <w:r>
        <w:rPr>
          <w:rFonts w:hint="eastAsia" w:asciiTheme="majorEastAsia" w:hAnsiTheme="majorEastAsia" w:eastAsiaTheme="majorEastAsia"/>
          <w:sz w:val="24"/>
          <w:szCs w:val="24"/>
        </w:rPr>
        <w:t>（8）以大功率瞬变电磁场的激发方式和核心技术研究为突破口，形成瞬变电磁大功率作业技术以及地面配套的自然电位、人工电位综合检测方法。结合井内感应电动势的测量，形成一个集套管井测井、井间测井与勘探，并与地面测量相结合的瞬变电磁综合检测方法，对开发过程中的注水过程和注水状态进行长期连续监测。</w:t>
      </w:r>
    </w:p>
    <w:p>
      <w:pPr>
        <w:spacing w:line="360" w:lineRule="auto"/>
        <w:ind w:firstLine="480" w:firstLineChars="200"/>
        <w:jc w:val="left"/>
        <w:rPr>
          <w:rFonts w:asciiTheme="majorEastAsia" w:hAnsiTheme="majorEastAsia" w:eastAsiaTheme="majorEastAsia"/>
          <w:sz w:val="24"/>
          <w:szCs w:val="24"/>
        </w:rPr>
      </w:pPr>
      <w:r>
        <w:rPr>
          <w:rFonts w:hint="eastAsia" w:asciiTheme="majorEastAsia" w:hAnsiTheme="majorEastAsia" w:eastAsiaTheme="majorEastAsia"/>
          <w:sz w:val="24"/>
          <w:szCs w:val="24"/>
        </w:rPr>
        <w:t>（9）将瞬变电磁大功率作业与地面、井间检测相结合，形成一个边作业边进行人工电位和瞬变电磁场测量的综合检测方法，实时评价作业效果和油气运移情况。</w:t>
      </w:r>
    </w:p>
    <w:p>
      <w:pPr>
        <w:spacing w:line="360" w:lineRule="auto"/>
        <w:ind w:firstLine="480" w:firstLineChars="200"/>
        <w:jc w:val="left"/>
        <w:rPr>
          <w:rFonts w:asciiTheme="majorEastAsia" w:hAnsiTheme="majorEastAsia" w:eastAsiaTheme="majorEastAsia"/>
          <w:sz w:val="24"/>
          <w:szCs w:val="24"/>
        </w:rPr>
      </w:pPr>
      <w:r>
        <w:rPr>
          <w:rFonts w:hint="eastAsia" w:asciiTheme="majorEastAsia" w:hAnsiTheme="majorEastAsia" w:eastAsiaTheme="majorEastAsia"/>
          <w:sz w:val="24"/>
          <w:szCs w:val="24"/>
        </w:rPr>
        <w:t>（10）对套管井实施过套管地层电导率测量，利用套管井的时深关系给出套管井外一定深度地层的电导率分布，根据该分布判断地层内</w:t>
      </w:r>
      <w:r>
        <w:rPr>
          <w:rFonts w:asciiTheme="majorEastAsia" w:hAnsiTheme="majorEastAsia" w:eastAsiaTheme="majorEastAsia"/>
          <w:sz w:val="24"/>
          <w:szCs w:val="24"/>
        </w:rPr>
        <w:t>剩余分布情况</w:t>
      </w:r>
      <w:r>
        <w:rPr>
          <w:rFonts w:hint="eastAsia" w:asciiTheme="majorEastAsia" w:hAnsiTheme="majorEastAsia" w:eastAsiaTheme="majorEastAsia"/>
          <w:sz w:val="24"/>
          <w:szCs w:val="24"/>
        </w:rPr>
        <w:t>，是否需要进行开展增产措施。</w:t>
      </w:r>
    </w:p>
    <w:p>
      <w:pPr>
        <w:spacing w:line="360" w:lineRule="auto"/>
        <w:jc w:val="left"/>
        <w:rPr>
          <w:rFonts w:asciiTheme="majorEastAsia" w:hAnsiTheme="majorEastAsia" w:eastAsiaTheme="majorEastAsia"/>
          <w:sz w:val="24"/>
          <w:szCs w:val="24"/>
        </w:rPr>
      </w:pPr>
      <w:r>
        <w:rPr>
          <w:rFonts w:hint="eastAsia"/>
          <w:sz w:val="24"/>
          <w:szCs w:val="24"/>
        </w:rPr>
        <w:drawing>
          <wp:inline distT="0" distB="0" distL="0" distR="0">
            <wp:extent cx="5273040" cy="2108200"/>
            <wp:effectExtent l="0" t="0" r="3810" b="635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12" cstate="print">
                      <a:extLst>
                        <a:ext uri="{28A0092B-C50C-407E-A947-70E740481C1C}">
                          <a14:useLocalDpi xmlns:a14="http://schemas.microsoft.com/office/drawing/2010/main" val="0"/>
                        </a:ext>
                      </a:extLst>
                    </a:blip>
                    <a:srcRect t="6865"/>
                    <a:stretch>
                      <a:fillRect/>
                    </a:stretch>
                  </pic:blipFill>
                  <pic:spPr>
                    <a:xfrm>
                      <a:off x="0" y="0"/>
                      <a:ext cx="5289038" cy="2115072"/>
                    </a:xfrm>
                    <a:prstGeom prst="rect">
                      <a:avLst/>
                    </a:prstGeom>
                    <a:ln>
                      <a:noFill/>
                    </a:ln>
                  </pic:spPr>
                </pic:pic>
              </a:graphicData>
            </a:graphic>
          </wp:inline>
        </w:drawing>
      </w:r>
    </w:p>
    <w:p>
      <w:pPr>
        <w:spacing w:line="360" w:lineRule="auto"/>
        <w:jc w:val="center"/>
        <w:rPr>
          <w:rFonts w:asciiTheme="majorEastAsia" w:hAnsiTheme="majorEastAsia" w:eastAsiaTheme="majorEastAsia"/>
          <w:szCs w:val="24"/>
        </w:rPr>
      </w:pPr>
      <w:r>
        <w:rPr>
          <w:rFonts w:hint="eastAsia" w:asciiTheme="majorEastAsia" w:hAnsiTheme="majorEastAsia" w:eastAsiaTheme="majorEastAsia"/>
          <w:szCs w:val="24"/>
        </w:rPr>
        <w:t>图4 不同时刻的响应波形生成的曲线与裸眼井曲线（黑）的对比</w:t>
      </w:r>
    </w:p>
    <w:p>
      <w:pPr>
        <w:spacing w:line="360" w:lineRule="auto"/>
        <w:jc w:val="center"/>
        <w:rPr>
          <w:rFonts w:asciiTheme="majorEastAsia" w:hAnsiTheme="majorEastAsia" w:eastAsiaTheme="majorEastAsia"/>
          <w:szCs w:val="24"/>
        </w:rPr>
      </w:pPr>
      <w:r>
        <w:rPr>
          <w:rFonts w:asciiTheme="majorEastAsia" w:hAnsiTheme="majorEastAsia" w:eastAsiaTheme="majorEastAsia"/>
          <w:szCs w:val="24"/>
        </w:rPr>
        <w:t>联系方式</w:t>
      </w:r>
      <w:r>
        <w:rPr>
          <w:rFonts w:hint="eastAsia" w:asciiTheme="majorEastAsia" w:hAnsiTheme="majorEastAsia" w:eastAsiaTheme="majorEastAsia"/>
          <w:szCs w:val="24"/>
        </w:rPr>
        <w:t>：</w:t>
      </w:r>
      <w:r>
        <w:rPr>
          <w:rFonts w:asciiTheme="majorEastAsia" w:hAnsiTheme="majorEastAsia" w:eastAsiaTheme="majorEastAsia"/>
          <w:szCs w:val="24"/>
        </w:rPr>
        <w:t>沈建国</w:t>
      </w:r>
      <w:r>
        <w:rPr>
          <w:rFonts w:hint="eastAsia" w:asciiTheme="majorEastAsia" w:hAnsiTheme="majorEastAsia" w:eastAsiaTheme="majorEastAsia"/>
          <w:szCs w:val="24"/>
        </w:rPr>
        <w:t xml:space="preserve">  13512058322，电话微信同号</w:t>
      </w:r>
    </w:p>
    <w:p>
      <w:pPr>
        <w:spacing w:line="360" w:lineRule="auto"/>
        <w:jc w:val="center"/>
        <w:rPr>
          <w:rFonts w:asciiTheme="majorEastAsia" w:hAnsiTheme="majorEastAsia" w:eastAsiaTheme="majorEastAsia"/>
          <w:szCs w:val="24"/>
        </w:rPr>
      </w:pPr>
      <w:r>
        <w:rPr>
          <w:rFonts w:hint="eastAsia" w:asciiTheme="majorEastAsia" w:hAnsiTheme="majorEastAsia" w:eastAsiaTheme="majorEastAsia"/>
          <w:szCs w:val="24"/>
        </w:rPr>
        <w:t>邮箱：shenjianguo@tju.edu.cn</w:t>
      </w:r>
    </w:p>
    <w:p>
      <w:pPr>
        <w:spacing w:line="360" w:lineRule="auto"/>
        <w:jc w:val="center"/>
        <w:rPr>
          <w:rFonts w:asciiTheme="majorEastAsia" w:hAnsiTheme="majorEastAsia" w:eastAsiaTheme="majorEastAsia"/>
          <w:szCs w:val="24"/>
        </w:rPr>
      </w:pPr>
      <w:r>
        <w:fldChar w:fldCharType="begin"/>
      </w:r>
      <w:r>
        <w:instrText xml:space="preserve"> HYPERLINK "http://www.huahuitech.com" </w:instrText>
      </w:r>
      <w:r>
        <w:fldChar w:fldCharType="separate"/>
      </w:r>
      <w:r>
        <w:rPr>
          <w:rStyle w:val="7"/>
          <w:rFonts w:hint="eastAsia" w:asciiTheme="majorEastAsia" w:hAnsiTheme="majorEastAsia" w:eastAsiaTheme="majorEastAsia"/>
          <w:szCs w:val="24"/>
        </w:rPr>
        <w:t>www.huahuitech.com</w:t>
      </w:r>
      <w:r>
        <w:rPr>
          <w:rStyle w:val="7"/>
          <w:rFonts w:hint="eastAsia" w:asciiTheme="majorEastAsia" w:hAnsiTheme="majorEastAsia" w:eastAsiaTheme="majorEastAsia"/>
          <w:szCs w:val="24"/>
        </w:rPr>
        <w:fldChar w:fldCharType="end"/>
      </w:r>
      <w:r>
        <w:rPr>
          <w:rFonts w:hint="eastAsia" w:asciiTheme="majorEastAsia" w:hAnsiTheme="majorEastAsia" w:eastAsiaTheme="majorEastAsia"/>
          <w:szCs w:val="24"/>
        </w:rPr>
        <w:t xml:space="preserve">    </w:t>
      </w:r>
    </w:p>
    <w:p>
      <w:pPr>
        <w:spacing w:line="360" w:lineRule="auto"/>
        <w:jc w:val="center"/>
        <w:rPr>
          <w:rFonts w:asciiTheme="majorEastAsia" w:hAnsiTheme="majorEastAsia" w:eastAsiaTheme="majorEastAsia"/>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行楷">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B8A"/>
    <w:rsid w:val="00015570"/>
    <w:rsid w:val="000223CA"/>
    <w:rsid w:val="00073AC8"/>
    <w:rsid w:val="000C0D68"/>
    <w:rsid w:val="00105CC3"/>
    <w:rsid w:val="001173E5"/>
    <w:rsid w:val="00190B5F"/>
    <w:rsid w:val="00191F20"/>
    <w:rsid w:val="00204CFE"/>
    <w:rsid w:val="00257BCB"/>
    <w:rsid w:val="002852CF"/>
    <w:rsid w:val="00285B98"/>
    <w:rsid w:val="002B651C"/>
    <w:rsid w:val="002C4A93"/>
    <w:rsid w:val="002E7911"/>
    <w:rsid w:val="003069A9"/>
    <w:rsid w:val="003438C8"/>
    <w:rsid w:val="003530DF"/>
    <w:rsid w:val="00364053"/>
    <w:rsid w:val="003C1244"/>
    <w:rsid w:val="00442EEA"/>
    <w:rsid w:val="00485390"/>
    <w:rsid w:val="00497CDB"/>
    <w:rsid w:val="004A2A86"/>
    <w:rsid w:val="004C61B1"/>
    <w:rsid w:val="004D6A47"/>
    <w:rsid w:val="005136DB"/>
    <w:rsid w:val="00514DAF"/>
    <w:rsid w:val="00535AE3"/>
    <w:rsid w:val="00594F61"/>
    <w:rsid w:val="005A5AAF"/>
    <w:rsid w:val="00607A31"/>
    <w:rsid w:val="0063039A"/>
    <w:rsid w:val="00653AF1"/>
    <w:rsid w:val="00676A7C"/>
    <w:rsid w:val="006C2D18"/>
    <w:rsid w:val="006E77CB"/>
    <w:rsid w:val="007461D1"/>
    <w:rsid w:val="00752447"/>
    <w:rsid w:val="00811962"/>
    <w:rsid w:val="008210F0"/>
    <w:rsid w:val="008F3349"/>
    <w:rsid w:val="00A4522A"/>
    <w:rsid w:val="00A94928"/>
    <w:rsid w:val="00AD5EB4"/>
    <w:rsid w:val="00B04310"/>
    <w:rsid w:val="00B278EC"/>
    <w:rsid w:val="00B278FF"/>
    <w:rsid w:val="00B54257"/>
    <w:rsid w:val="00B578B4"/>
    <w:rsid w:val="00BC79CC"/>
    <w:rsid w:val="00C14CA9"/>
    <w:rsid w:val="00C24B9C"/>
    <w:rsid w:val="00CB1B8A"/>
    <w:rsid w:val="00D416F1"/>
    <w:rsid w:val="00D45261"/>
    <w:rsid w:val="00DD2475"/>
    <w:rsid w:val="00E30B59"/>
    <w:rsid w:val="00E7072D"/>
    <w:rsid w:val="00FB3205"/>
    <w:rsid w:val="00FD6A2D"/>
    <w:rsid w:val="03504B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000FF" w:themeColor="hyperlink"/>
      <w:u w:val="single"/>
      <w14:textFill>
        <w14:solidFill>
          <w14:schemeClr w14:val="hlink"/>
        </w14:solidFill>
      </w14:textFill>
    </w:rPr>
  </w:style>
  <w:style w:type="character" w:customStyle="1" w:styleId="8">
    <w:name w:val="页眉 Char"/>
    <w:basedOn w:val="6"/>
    <w:link w:val="4"/>
    <w:uiPriority w:val="99"/>
    <w:rPr>
      <w:sz w:val="18"/>
      <w:szCs w:val="18"/>
    </w:rPr>
  </w:style>
  <w:style w:type="character" w:customStyle="1" w:styleId="9">
    <w:name w:val="页脚 Char"/>
    <w:basedOn w:val="6"/>
    <w:link w:val="3"/>
    <w:uiPriority w:val="99"/>
    <w:rPr>
      <w:sz w:val="18"/>
      <w:szCs w:val="18"/>
    </w:rPr>
  </w:style>
  <w:style w:type="character" w:customStyle="1" w:styleId="10">
    <w:name w:val="批注框文本 Char"/>
    <w:basedOn w:val="6"/>
    <w:link w:val="2"/>
    <w:semiHidden/>
    <w:uiPriority w:val="99"/>
    <w:rPr>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 </Company>
  <Pages>4</Pages>
  <Words>294</Words>
  <Characters>1682</Characters>
  <Lines>14</Lines>
  <Paragraphs>3</Paragraphs>
  <TotalTime>39</TotalTime>
  <ScaleCrop>false</ScaleCrop>
  <LinksUpToDate>false</LinksUpToDate>
  <CharactersWithSpaces>1973</CharactersWithSpaces>
  <Application>WPS Office_11.1.0.8986_F1E327BC-269C-435d-A152-05C5408002CA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2019-09-29T02:43:00Z</dcterms:created>
  <dc:creator>lenovo</dc:creator>
  <cp:lastModifiedBy>lenovo</cp:lastModifiedBy>
  <dcterms:modified xsi:type="dcterms:W3CDTF">2019-10-11T00:44:49Z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